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90" w:type="dxa"/>
        <w:tblInd w:w="-431" w:type="dxa"/>
        <w:tblLook w:val="04A0" w:firstRow="1" w:lastRow="0" w:firstColumn="1" w:lastColumn="0" w:noHBand="0" w:noVBand="1"/>
      </w:tblPr>
      <w:tblGrid>
        <w:gridCol w:w="5350"/>
        <w:gridCol w:w="4919"/>
        <w:gridCol w:w="4921"/>
      </w:tblGrid>
      <w:tr w:rsidR="00D77639" w:rsidTr="00D77639">
        <w:trPr>
          <w:trHeight w:val="1331"/>
        </w:trPr>
        <w:tc>
          <w:tcPr>
            <w:tcW w:w="5350" w:type="dxa"/>
          </w:tcPr>
          <w:p w:rsidR="00D77639" w:rsidRPr="00D77639" w:rsidRDefault="00D77639" w:rsidP="00E36156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Maths</w:t>
            </w:r>
            <w:r w:rsidR="00C16242">
              <w:rPr>
                <w:rFonts w:ascii="Twinkl" w:hAnsi="Twinkl"/>
                <w:sz w:val="48"/>
              </w:rPr>
              <w:t xml:space="preserve"> – </w:t>
            </w:r>
            <w:r w:rsidR="00E36156">
              <w:rPr>
                <w:rFonts w:ascii="Twinkl" w:hAnsi="Twinkl"/>
                <w:sz w:val="48"/>
              </w:rPr>
              <w:t>multiplication and division</w:t>
            </w:r>
          </w:p>
        </w:tc>
        <w:tc>
          <w:tcPr>
            <w:tcW w:w="4919" w:type="dxa"/>
          </w:tcPr>
          <w:p w:rsidR="00D77639" w:rsidRPr="00D77639" w:rsidRDefault="00D77639" w:rsidP="006C0AB4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Literacy</w:t>
            </w:r>
            <w:r w:rsidR="006C0AB4">
              <w:rPr>
                <w:rFonts w:ascii="Twinkl" w:hAnsi="Twinkl"/>
                <w:sz w:val="48"/>
              </w:rPr>
              <w:t xml:space="preserve"> – Recount</w:t>
            </w:r>
          </w:p>
        </w:tc>
        <w:tc>
          <w:tcPr>
            <w:tcW w:w="4921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Topic</w:t>
            </w:r>
          </w:p>
        </w:tc>
      </w:tr>
      <w:tr w:rsidR="00D77639" w:rsidTr="00D77639">
        <w:trPr>
          <w:trHeight w:val="7313"/>
        </w:trPr>
        <w:tc>
          <w:tcPr>
            <w:tcW w:w="5350" w:type="dxa"/>
          </w:tcPr>
          <w:p w:rsidR="00E36156" w:rsidRDefault="001B1C36" w:rsidP="006C0AB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How </w:t>
            </w:r>
            <w:r w:rsidR="00E36156">
              <w:rPr>
                <w:rFonts w:ascii="Twinkl" w:hAnsi="Twinkl"/>
                <w:sz w:val="24"/>
              </w:rPr>
              <w:t xml:space="preserve">to </w:t>
            </w:r>
            <w:r w:rsidR="006C0AB4">
              <w:rPr>
                <w:rFonts w:ascii="Twinkl" w:hAnsi="Twinkl"/>
                <w:sz w:val="24"/>
              </w:rPr>
              <w:t>divide by 10.</w:t>
            </w:r>
          </w:p>
          <w:p w:rsidR="006C0AB4" w:rsidRDefault="006C0AB4" w:rsidP="006C0AB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How to divide by 100.</w:t>
            </w:r>
          </w:p>
          <w:p w:rsidR="006C0AB4" w:rsidRDefault="006C0AB4" w:rsidP="006C0AB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How to multiply and divide by 1,000.</w:t>
            </w:r>
          </w:p>
          <w:p w:rsidR="006C0AB4" w:rsidRPr="00E36156" w:rsidRDefault="006C0AB4" w:rsidP="006C0AB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To find factor pairs.</w:t>
            </w:r>
          </w:p>
        </w:tc>
        <w:tc>
          <w:tcPr>
            <w:tcW w:w="4919" w:type="dxa"/>
          </w:tcPr>
          <w:p w:rsidR="001B1C36" w:rsidRDefault="00E36156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Learn our new spellings.</w:t>
            </w:r>
          </w:p>
          <w:p w:rsidR="00E36156" w:rsidRDefault="006C0AB4" w:rsidP="006C0AB4">
            <w:pPr>
              <w:pStyle w:val="ListParagraph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Y4 – </w:t>
            </w:r>
            <w:r w:rsidRPr="006C0AB4">
              <w:rPr>
                <w:rFonts w:ascii="Twinkl" w:hAnsi="Twinkl"/>
                <w:sz w:val="24"/>
              </w:rPr>
              <w:t>though</w:t>
            </w:r>
            <w:r>
              <w:rPr>
                <w:rFonts w:ascii="Twinkl" w:hAnsi="Twinkl"/>
                <w:sz w:val="24"/>
              </w:rPr>
              <w:t xml:space="preserve">, </w:t>
            </w:r>
            <w:r w:rsidRPr="006C0AB4">
              <w:rPr>
                <w:rFonts w:ascii="Twinkl" w:hAnsi="Twinkl"/>
                <w:sz w:val="24"/>
              </w:rPr>
              <w:t>although</w:t>
            </w:r>
            <w:r>
              <w:rPr>
                <w:rFonts w:ascii="Twinkl" w:hAnsi="Twinkl"/>
                <w:sz w:val="24"/>
              </w:rPr>
              <w:t xml:space="preserve">, </w:t>
            </w:r>
            <w:r w:rsidRPr="006C0AB4">
              <w:rPr>
                <w:rFonts w:ascii="Twinkl" w:hAnsi="Twinkl"/>
                <w:sz w:val="24"/>
              </w:rPr>
              <w:t>dough</w:t>
            </w:r>
            <w:r>
              <w:rPr>
                <w:rFonts w:ascii="Twinkl" w:hAnsi="Twinkl"/>
                <w:sz w:val="24"/>
              </w:rPr>
              <w:t xml:space="preserve">, </w:t>
            </w:r>
            <w:r w:rsidRPr="006C0AB4">
              <w:rPr>
                <w:rFonts w:ascii="Twinkl" w:hAnsi="Twinkl"/>
                <w:sz w:val="24"/>
              </w:rPr>
              <w:t>through</w:t>
            </w:r>
            <w:r>
              <w:rPr>
                <w:rFonts w:ascii="Twinkl" w:hAnsi="Twinkl"/>
                <w:sz w:val="24"/>
              </w:rPr>
              <w:t xml:space="preserve">, </w:t>
            </w:r>
            <w:r w:rsidRPr="006C0AB4">
              <w:rPr>
                <w:rFonts w:ascii="Twinkl" w:hAnsi="Twinkl"/>
                <w:sz w:val="24"/>
              </w:rPr>
              <w:t>breakthrough</w:t>
            </w:r>
            <w:r>
              <w:rPr>
                <w:rFonts w:ascii="Twinkl" w:hAnsi="Twinkl"/>
                <w:sz w:val="24"/>
              </w:rPr>
              <w:t xml:space="preserve">, </w:t>
            </w:r>
            <w:r w:rsidRPr="006C0AB4">
              <w:rPr>
                <w:rFonts w:ascii="Twinkl" w:hAnsi="Twinkl"/>
                <w:sz w:val="24"/>
              </w:rPr>
              <w:t>thought</w:t>
            </w:r>
            <w:r>
              <w:rPr>
                <w:rFonts w:ascii="Twinkl" w:hAnsi="Twinkl"/>
                <w:sz w:val="24"/>
              </w:rPr>
              <w:t xml:space="preserve">, </w:t>
            </w:r>
            <w:r w:rsidRPr="006C0AB4">
              <w:rPr>
                <w:rFonts w:ascii="Twinkl" w:hAnsi="Twinkl"/>
                <w:sz w:val="24"/>
              </w:rPr>
              <w:t>bought</w:t>
            </w:r>
            <w:r>
              <w:rPr>
                <w:rFonts w:ascii="Twinkl" w:hAnsi="Twinkl"/>
                <w:sz w:val="24"/>
              </w:rPr>
              <w:t xml:space="preserve">, </w:t>
            </w:r>
            <w:r w:rsidRPr="006C0AB4">
              <w:rPr>
                <w:rFonts w:ascii="Twinkl" w:hAnsi="Twinkl"/>
                <w:sz w:val="24"/>
              </w:rPr>
              <w:t>brought</w:t>
            </w:r>
            <w:r>
              <w:rPr>
                <w:rFonts w:ascii="Twinkl" w:hAnsi="Twinkl"/>
                <w:sz w:val="24"/>
              </w:rPr>
              <w:t xml:space="preserve">, </w:t>
            </w:r>
            <w:r w:rsidRPr="006C0AB4">
              <w:rPr>
                <w:rFonts w:ascii="Twinkl" w:hAnsi="Twinkl"/>
                <w:sz w:val="24"/>
              </w:rPr>
              <w:t>fought</w:t>
            </w:r>
            <w:r>
              <w:rPr>
                <w:rFonts w:ascii="Twinkl" w:hAnsi="Twinkl"/>
                <w:sz w:val="24"/>
              </w:rPr>
              <w:t xml:space="preserve">, </w:t>
            </w:r>
            <w:r w:rsidRPr="006C0AB4">
              <w:rPr>
                <w:rFonts w:ascii="Twinkl" w:hAnsi="Twinkl"/>
                <w:sz w:val="24"/>
              </w:rPr>
              <w:t>ought</w:t>
            </w:r>
          </w:p>
          <w:p w:rsidR="006C0AB4" w:rsidRDefault="006C0AB4" w:rsidP="006C0AB4">
            <w:pPr>
              <w:pStyle w:val="ListParagraph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Y5 – </w:t>
            </w:r>
            <w:r w:rsidRPr="006C0AB4">
              <w:rPr>
                <w:rFonts w:ascii="Twinkl" w:hAnsi="Twinkl"/>
                <w:sz w:val="24"/>
              </w:rPr>
              <w:t>certainly</w:t>
            </w:r>
            <w:r>
              <w:rPr>
                <w:rFonts w:ascii="Twinkl" w:hAnsi="Twinkl"/>
                <w:sz w:val="24"/>
              </w:rPr>
              <w:t xml:space="preserve">, </w:t>
            </w:r>
            <w:r w:rsidRPr="006C0AB4">
              <w:rPr>
                <w:rFonts w:ascii="Twinkl" w:hAnsi="Twinkl"/>
                <w:sz w:val="24"/>
              </w:rPr>
              <w:t>definitely</w:t>
            </w:r>
            <w:r>
              <w:rPr>
                <w:rFonts w:ascii="Twinkl" w:hAnsi="Twinkl"/>
                <w:sz w:val="24"/>
              </w:rPr>
              <w:t xml:space="preserve">, </w:t>
            </w:r>
            <w:r w:rsidRPr="006C0AB4">
              <w:rPr>
                <w:rFonts w:ascii="Twinkl" w:hAnsi="Twinkl"/>
                <w:sz w:val="24"/>
              </w:rPr>
              <w:t>possibly</w:t>
            </w:r>
            <w:r>
              <w:rPr>
                <w:rFonts w:ascii="Twinkl" w:hAnsi="Twinkl"/>
                <w:sz w:val="24"/>
              </w:rPr>
              <w:t xml:space="preserve">, </w:t>
            </w:r>
            <w:r w:rsidRPr="006C0AB4">
              <w:rPr>
                <w:rFonts w:ascii="Twinkl" w:hAnsi="Twinkl"/>
                <w:sz w:val="24"/>
              </w:rPr>
              <w:t>perhaps</w:t>
            </w:r>
            <w:r>
              <w:rPr>
                <w:rFonts w:ascii="Twinkl" w:hAnsi="Twinkl"/>
                <w:sz w:val="24"/>
              </w:rPr>
              <w:t xml:space="preserve">, </w:t>
            </w:r>
            <w:r w:rsidRPr="006C0AB4">
              <w:rPr>
                <w:rFonts w:ascii="Twinkl" w:hAnsi="Twinkl"/>
                <w:sz w:val="24"/>
              </w:rPr>
              <w:t>probably</w:t>
            </w:r>
            <w:r>
              <w:rPr>
                <w:rFonts w:ascii="Twinkl" w:hAnsi="Twinkl"/>
                <w:sz w:val="24"/>
              </w:rPr>
              <w:t xml:space="preserve">, </w:t>
            </w:r>
            <w:r w:rsidRPr="006C0AB4">
              <w:rPr>
                <w:rFonts w:ascii="Twinkl" w:hAnsi="Twinkl"/>
                <w:sz w:val="24"/>
              </w:rPr>
              <w:t>frequently</w:t>
            </w:r>
            <w:r>
              <w:rPr>
                <w:rFonts w:ascii="Twinkl" w:hAnsi="Twinkl"/>
                <w:sz w:val="24"/>
              </w:rPr>
              <w:t xml:space="preserve">, </w:t>
            </w:r>
            <w:r w:rsidRPr="006C0AB4">
              <w:rPr>
                <w:rFonts w:ascii="Twinkl" w:hAnsi="Twinkl"/>
                <w:sz w:val="24"/>
              </w:rPr>
              <w:t>often</w:t>
            </w:r>
            <w:r>
              <w:rPr>
                <w:rFonts w:ascii="Twinkl" w:hAnsi="Twinkl"/>
                <w:sz w:val="24"/>
              </w:rPr>
              <w:t xml:space="preserve">, </w:t>
            </w:r>
            <w:r w:rsidRPr="006C0AB4">
              <w:rPr>
                <w:rFonts w:ascii="Twinkl" w:hAnsi="Twinkl"/>
                <w:sz w:val="24"/>
              </w:rPr>
              <w:t>occasionally</w:t>
            </w:r>
            <w:r>
              <w:rPr>
                <w:rFonts w:ascii="Twinkl" w:hAnsi="Twinkl"/>
                <w:sz w:val="24"/>
              </w:rPr>
              <w:t xml:space="preserve">, </w:t>
            </w:r>
            <w:r w:rsidRPr="006C0AB4">
              <w:rPr>
                <w:rFonts w:ascii="Twinkl" w:hAnsi="Twinkl"/>
                <w:sz w:val="24"/>
              </w:rPr>
              <w:t>rarely</w:t>
            </w:r>
            <w:r>
              <w:rPr>
                <w:rFonts w:ascii="Twinkl" w:hAnsi="Twinkl"/>
                <w:sz w:val="24"/>
              </w:rPr>
              <w:t xml:space="preserve">, </w:t>
            </w:r>
            <w:r w:rsidRPr="006C0AB4">
              <w:rPr>
                <w:rFonts w:ascii="Twinkl" w:hAnsi="Twinkl"/>
                <w:sz w:val="24"/>
              </w:rPr>
              <w:t>always</w:t>
            </w:r>
          </w:p>
          <w:p w:rsidR="006C0AB4" w:rsidRPr="006C0AB4" w:rsidRDefault="006C0AB4" w:rsidP="006C0AB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Plan and write a recount for our Viking experience day. </w:t>
            </w:r>
          </w:p>
        </w:tc>
        <w:tc>
          <w:tcPr>
            <w:tcW w:w="4921" w:type="dxa"/>
          </w:tcPr>
          <w:p w:rsidR="00C16242" w:rsidRDefault="00712624" w:rsidP="00C16242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Art – </w:t>
            </w:r>
            <w:r w:rsidR="006C0AB4">
              <w:rPr>
                <w:rFonts w:ascii="Twinkl" w:hAnsi="Twinkl"/>
                <w:sz w:val="24"/>
              </w:rPr>
              <w:t>sculpting our Viking shields.</w:t>
            </w:r>
          </w:p>
          <w:p w:rsidR="00712624" w:rsidRDefault="00712624" w:rsidP="00712624">
            <w:pPr>
              <w:rPr>
                <w:rFonts w:ascii="Twinkl" w:hAnsi="Twinkl"/>
                <w:sz w:val="24"/>
              </w:rPr>
            </w:pPr>
          </w:p>
          <w:p w:rsidR="00E36156" w:rsidRDefault="006C0AB4" w:rsidP="001B1C36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Science – How does sound travel? How are high and low sounds made?</w:t>
            </w:r>
          </w:p>
          <w:p w:rsidR="00E36156" w:rsidRPr="00E36156" w:rsidRDefault="00E36156" w:rsidP="00E36156">
            <w:pPr>
              <w:pStyle w:val="ListParagraph"/>
              <w:rPr>
                <w:rFonts w:ascii="Twinkl" w:hAnsi="Twinkl"/>
                <w:sz w:val="24"/>
              </w:rPr>
            </w:pPr>
          </w:p>
          <w:p w:rsidR="00E36156" w:rsidRDefault="006C0AB4" w:rsidP="00E36156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Music – find the pulse, use our voices to make high and low notes.</w:t>
            </w:r>
            <w:bookmarkStart w:id="0" w:name="_GoBack"/>
            <w:bookmarkEnd w:id="0"/>
          </w:p>
          <w:p w:rsidR="00E36156" w:rsidRPr="00E36156" w:rsidRDefault="00E36156" w:rsidP="00E36156">
            <w:pPr>
              <w:pStyle w:val="ListParagraph"/>
              <w:rPr>
                <w:rFonts w:ascii="Twinkl" w:hAnsi="Twinkl"/>
                <w:sz w:val="24"/>
              </w:rPr>
            </w:pPr>
          </w:p>
          <w:p w:rsidR="00E36156" w:rsidRPr="00E36156" w:rsidRDefault="00E36156" w:rsidP="00E36156">
            <w:pPr>
              <w:rPr>
                <w:rFonts w:ascii="Twinkl" w:hAnsi="Twinkl"/>
                <w:sz w:val="24"/>
              </w:rPr>
            </w:pPr>
          </w:p>
        </w:tc>
      </w:tr>
    </w:tbl>
    <w:p w:rsidR="00D8554F" w:rsidRDefault="00D8554F"/>
    <w:sectPr w:rsidR="00D8554F" w:rsidSect="00D7763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39" w:rsidRDefault="00D77639" w:rsidP="00D77639">
      <w:pPr>
        <w:spacing w:after="0" w:line="240" w:lineRule="auto"/>
      </w:pPr>
      <w:r>
        <w:separator/>
      </w:r>
    </w:p>
  </w:endnote>
  <w:end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39" w:rsidRDefault="00D77639" w:rsidP="00D77639">
      <w:pPr>
        <w:spacing w:after="0" w:line="240" w:lineRule="auto"/>
      </w:pPr>
      <w:r>
        <w:separator/>
      </w:r>
    </w:p>
  </w:footnote>
  <w:foot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39" w:rsidRPr="00D77639" w:rsidRDefault="00D77639">
    <w:pPr>
      <w:pStyle w:val="Header"/>
      <w:rPr>
        <w:rFonts w:ascii="Twinkl" w:hAnsi="Twinkl"/>
        <w:sz w:val="36"/>
      </w:rPr>
    </w:pPr>
    <w:r w:rsidRPr="00D77639">
      <w:rPr>
        <w:rFonts w:ascii="Twinkl" w:hAnsi="Twinkl"/>
        <w:sz w:val="36"/>
      </w:rPr>
      <w:t>Th</w:t>
    </w:r>
    <w:r w:rsidR="00C16242">
      <w:rPr>
        <w:rFonts w:ascii="Twinkl" w:hAnsi="Twinkl"/>
        <w:sz w:val="36"/>
      </w:rPr>
      <w:t xml:space="preserve">is week </w:t>
    </w:r>
    <w:r w:rsidR="0006086A">
      <w:rPr>
        <w:rFonts w:ascii="Twinkl" w:hAnsi="Twinkl"/>
        <w:sz w:val="36"/>
      </w:rPr>
      <w:t xml:space="preserve">in Sycamore class </w:t>
    </w:r>
    <w:r w:rsidR="00C16242">
      <w:rPr>
        <w:rFonts w:ascii="Twinkl" w:hAnsi="Twinkl"/>
        <w:sz w:val="36"/>
      </w:rPr>
      <w:t>we are going to be learning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4812"/>
    <w:multiLevelType w:val="hybridMultilevel"/>
    <w:tmpl w:val="2654C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28F9"/>
    <w:multiLevelType w:val="hybridMultilevel"/>
    <w:tmpl w:val="2BA81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926DF"/>
    <w:multiLevelType w:val="hybridMultilevel"/>
    <w:tmpl w:val="1EDC4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71E99"/>
    <w:multiLevelType w:val="hybridMultilevel"/>
    <w:tmpl w:val="F9A6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39"/>
    <w:rsid w:val="0006086A"/>
    <w:rsid w:val="001762BC"/>
    <w:rsid w:val="001B1C36"/>
    <w:rsid w:val="00365C0D"/>
    <w:rsid w:val="00686EAA"/>
    <w:rsid w:val="006C0AB4"/>
    <w:rsid w:val="006E3D02"/>
    <w:rsid w:val="00712624"/>
    <w:rsid w:val="007C3A30"/>
    <w:rsid w:val="00C16242"/>
    <w:rsid w:val="00D77639"/>
    <w:rsid w:val="00D8554F"/>
    <w:rsid w:val="00DE237F"/>
    <w:rsid w:val="00E36156"/>
    <w:rsid w:val="00F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41F5"/>
  <w15:chartTrackingRefBased/>
  <w15:docId w15:val="{1C378A16-415E-40AA-B310-93D82C13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39"/>
  </w:style>
  <w:style w:type="paragraph" w:styleId="Footer">
    <w:name w:val="footer"/>
    <w:basedOn w:val="Normal"/>
    <w:link w:val="Foot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39"/>
  </w:style>
  <w:style w:type="paragraph" w:styleId="ListParagraph">
    <w:name w:val="List Paragraph"/>
    <w:basedOn w:val="Normal"/>
    <w:uiPriority w:val="34"/>
    <w:qFormat/>
    <w:rsid w:val="00D7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Burgess</dc:creator>
  <cp:keywords/>
  <dc:description/>
  <cp:lastModifiedBy>Cherrine Coulson</cp:lastModifiedBy>
  <cp:revision>3</cp:revision>
  <dcterms:created xsi:type="dcterms:W3CDTF">2020-11-27T09:03:00Z</dcterms:created>
  <dcterms:modified xsi:type="dcterms:W3CDTF">2020-11-27T09:10:00Z</dcterms:modified>
</cp:coreProperties>
</file>